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5BCD" w14:textId="12ABBEC5" w:rsidR="00705F9F" w:rsidRPr="00B053CD" w:rsidRDefault="00705F9F" w:rsidP="009F542A">
      <w:pPr>
        <w:spacing w:line="480" w:lineRule="auto"/>
        <w:ind w:firstLine="720"/>
        <w:jc w:val="center"/>
        <w:rPr>
          <w:rFonts w:ascii="Times New Roman" w:hAnsi="Times New Roman" w:cs="Times New Roman"/>
          <w:sz w:val="24"/>
          <w:szCs w:val="24"/>
        </w:rPr>
      </w:pPr>
    </w:p>
    <w:p w14:paraId="61C25A17" w14:textId="78070BFA" w:rsidR="00705F9F" w:rsidRPr="00B053CD" w:rsidRDefault="00705F9F" w:rsidP="009F542A">
      <w:pPr>
        <w:spacing w:line="480" w:lineRule="auto"/>
        <w:ind w:firstLine="720"/>
        <w:jc w:val="center"/>
        <w:rPr>
          <w:rFonts w:ascii="Times New Roman" w:hAnsi="Times New Roman" w:cs="Times New Roman"/>
          <w:sz w:val="24"/>
          <w:szCs w:val="24"/>
        </w:rPr>
      </w:pPr>
    </w:p>
    <w:p w14:paraId="41637E0A" w14:textId="20E7282A" w:rsidR="00705F9F" w:rsidRPr="00B053CD" w:rsidRDefault="00705F9F" w:rsidP="009F542A">
      <w:pPr>
        <w:spacing w:line="480" w:lineRule="auto"/>
        <w:ind w:firstLine="720"/>
        <w:jc w:val="center"/>
        <w:rPr>
          <w:rFonts w:ascii="Times New Roman" w:hAnsi="Times New Roman" w:cs="Times New Roman"/>
          <w:sz w:val="24"/>
          <w:szCs w:val="24"/>
        </w:rPr>
      </w:pPr>
    </w:p>
    <w:p w14:paraId="5EFCA7A0" w14:textId="1DB79332" w:rsidR="00705F9F" w:rsidRPr="00B053CD" w:rsidRDefault="00705F9F" w:rsidP="009F542A">
      <w:pPr>
        <w:spacing w:line="480" w:lineRule="auto"/>
        <w:ind w:firstLine="720"/>
        <w:jc w:val="center"/>
        <w:rPr>
          <w:rFonts w:ascii="Times New Roman" w:hAnsi="Times New Roman" w:cs="Times New Roman"/>
          <w:sz w:val="24"/>
          <w:szCs w:val="24"/>
        </w:rPr>
      </w:pPr>
    </w:p>
    <w:p w14:paraId="2696B87C" w14:textId="7F304648" w:rsidR="00705F9F" w:rsidRPr="00B053CD" w:rsidRDefault="00705F9F" w:rsidP="009F542A">
      <w:pPr>
        <w:spacing w:line="480" w:lineRule="auto"/>
        <w:ind w:firstLine="720"/>
        <w:jc w:val="center"/>
        <w:rPr>
          <w:rFonts w:ascii="Times New Roman" w:hAnsi="Times New Roman" w:cs="Times New Roman"/>
          <w:sz w:val="24"/>
          <w:szCs w:val="24"/>
        </w:rPr>
      </w:pPr>
    </w:p>
    <w:p w14:paraId="7A05452B" w14:textId="373B7D21" w:rsidR="00705F9F" w:rsidRPr="00B053CD" w:rsidRDefault="00705F9F" w:rsidP="009F542A">
      <w:pPr>
        <w:spacing w:line="480" w:lineRule="auto"/>
        <w:ind w:firstLine="720"/>
        <w:jc w:val="center"/>
        <w:rPr>
          <w:rFonts w:ascii="Times New Roman" w:hAnsi="Times New Roman" w:cs="Times New Roman"/>
          <w:sz w:val="24"/>
          <w:szCs w:val="24"/>
        </w:rPr>
      </w:pPr>
    </w:p>
    <w:p w14:paraId="003C343B" w14:textId="559877E0"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Gambling</w:t>
      </w:r>
    </w:p>
    <w:p w14:paraId="553BAF5B" w14:textId="36090E0A"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Student’s Name</w:t>
      </w:r>
    </w:p>
    <w:p w14:paraId="146C7000" w14:textId="7D498027"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Institution</w:t>
      </w:r>
    </w:p>
    <w:p w14:paraId="179648F4" w14:textId="1852CAE5"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Course</w:t>
      </w:r>
    </w:p>
    <w:p w14:paraId="7E04B6F6" w14:textId="1A7FCC82"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Professor’s Name</w:t>
      </w:r>
    </w:p>
    <w:p w14:paraId="33D55738" w14:textId="2B30E742"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Date</w:t>
      </w:r>
    </w:p>
    <w:p w14:paraId="650929E5" w14:textId="0E24A5E6" w:rsidR="00705F9F" w:rsidRPr="00B053CD" w:rsidRDefault="00705F9F" w:rsidP="009F542A">
      <w:pPr>
        <w:spacing w:line="480" w:lineRule="auto"/>
        <w:ind w:firstLine="720"/>
        <w:jc w:val="center"/>
        <w:rPr>
          <w:rFonts w:ascii="Times New Roman" w:hAnsi="Times New Roman" w:cs="Times New Roman"/>
          <w:sz w:val="24"/>
          <w:szCs w:val="24"/>
        </w:rPr>
      </w:pPr>
    </w:p>
    <w:p w14:paraId="2EFD10A5" w14:textId="3D74443C" w:rsidR="00705F9F" w:rsidRPr="00B053CD" w:rsidRDefault="00705F9F" w:rsidP="009F542A">
      <w:pPr>
        <w:spacing w:line="480" w:lineRule="auto"/>
        <w:ind w:firstLine="720"/>
        <w:jc w:val="center"/>
        <w:rPr>
          <w:rFonts w:ascii="Times New Roman" w:hAnsi="Times New Roman" w:cs="Times New Roman"/>
          <w:sz w:val="24"/>
          <w:szCs w:val="24"/>
        </w:rPr>
      </w:pPr>
    </w:p>
    <w:p w14:paraId="306A97C7" w14:textId="044D68F1" w:rsidR="00705F9F" w:rsidRPr="00B053CD" w:rsidRDefault="00705F9F" w:rsidP="009F542A">
      <w:pPr>
        <w:spacing w:line="480" w:lineRule="auto"/>
        <w:ind w:firstLine="720"/>
        <w:jc w:val="center"/>
        <w:rPr>
          <w:rFonts w:ascii="Times New Roman" w:hAnsi="Times New Roman" w:cs="Times New Roman"/>
          <w:sz w:val="24"/>
          <w:szCs w:val="24"/>
        </w:rPr>
      </w:pPr>
    </w:p>
    <w:p w14:paraId="28BF8925" w14:textId="56FD0EA1" w:rsidR="00705F9F" w:rsidRPr="00B053CD" w:rsidRDefault="00705F9F" w:rsidP="009F542A">
      <w:pPr>
        <w:spacing w:line="480" w:lineRule="auto"/>
        <w:ind w:firstLine="720"/>
        <w:jc w:val="center"/>
        <w:rPr>
          <w:rFonts w:ascii="Times New Roman" w:hAnsi="Times New Roman" w:cs="Times New Roman"/>
          <w:sz w:val="24"/>
          <w:szCs w:val="24"/>
        </w:rPr>
      </w:pPr>
    </w:p>
    <w:p w14:paraId="45272D8D" w14:textId="0B0B45C1" w:rsidR="00705F9F" w:rsidRPr="00B053CD" w:rsidRDefault="00705F9F" w:rsidP="009F542A">
      <w:pPr>
        <w:spacing w:line="480" w:lineRule="auto"/>
        <w:ind w:firstLine="720"/>
        <w:jc w:val="center"/>
        <w:rPr>
          <w:rFonts w:ascii="Times New Roman" w:hAnsi="Times New Roman" w:cs="Times New Roman"/>
          <w:sz w:val="24"/>
          <w:szCs w:val="24"/>
        </w:rPr>
      </w:pPr>
    </w:p>
    <w:p w14:paraId="4A7FB42F" w14:textId="20305C52" w:rsidR="00705F9F" w:rsidRPr="00B053CD" w:rsidRDefault="00705F9F" w:rsidP="009F542A">
      <w:pPr>
        <w:spacing w:line="480" w:lineRule="auto"/>
        <w:ind w:firstLine="720"/>
        <w:jc w:val="center"/>
        <w:rPr>
          <w:rFonts w:ascii="Times New Roman" w:hAnsi="Times New Roman" w:cs="Times New Roman"/>
          <w:sz w:val="24"/>
          <w:szCs w:val="24"/>
        </w:rPr>
      </w:pPr>
    </w:p>
    <w:p w14:paraId="7A52892E" w14:textId="14A378E1" w:rsidR="00705F9F"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lastRenderedPageBreak/>
        <w:t>Gambling</w:t>
      </w:r>
    </w:p>
    <w:p w14:paraId="7704321E" w14:textId="7703B0F7" w:rsidR="008A348A"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 xml:space="preserve">Introduction </w:t>
      </w:r>
    </w:p>
    <w:p w14:paraId="1D7A708C" w14:textId="63B2DEC2" w:rsidR="00705F9F"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 xml:space="preserve">According to </w:t>
      </w:r>
      <w:r w:rsidRPr="00B053CD">
        <w:rPr>
          <w:rFonts w:ascii="Times New Roman" w:hAnsi="Times New Roman" w:cs="Times New Roman"/>
          <w:color w:val="222222"/>
          <w:sz w:val="24"/>
          <w:szCs w:val="24"/>
          <w:shd w:val="clear" w:color="auto" w:fill="FFFFFF"/>
        </w:rPr>
        <w:t>Welte</w:t>
      </w:r>
      <w:r w:rsidRPr="00B053CD">
        <w:rPr>
          <w:rFonts w:ascii="Times New Roman" w:hAnsi="Times New Roman" w:cs="Times New Roman"/>
          <w:sz w:val="24"/>
          <w:szCs w:val="24"/>
        </w:rPr>
        <w:t xml:space="preserve"> et al. (2016), </w:t>
      </w:r>
      <w:r w:rsidR="00986A8E" w:rsidRPr="00B053CD">
        <w:rPr>
          <w:rFonts w:ascii="Times New Roman" w:hAnsi="Times New Roman" w:cs="Times New Roman"/>
          <w:sz w:val="24"/>
          <w:szCs w:val="24"/>
        </w:rPr>
        <w:t xml:space="preserve">gambling refers to betting or staking a valuable item knowing the risk of losing while hoping to gain. Gambling exists in the context of a game or an uncertain event. Here, the result </w:t>
      </w:r>
      <w:r w:rsidR="008A348A" w:rsidRPr="00B053CD">
        <w:rPr>
          <w:rFonts w:ascii="Times New Roman" w:hAnsi="Times New Roman" w:cs="Times New Roman"/>
          <w:sz w:val="24"/>
          <w:szCs w:val="24"/>
        </w:rPr>
        <w:t>gets</w:t>
      </w:r>
      <w:r w:rsidR="00986A8E" w:rsidRPr="00B053CD">
        <w:rPr>
          <w:rFonts w:ascii="Times New Roman" w:hAnsi="Times New Roman" w:cs="Times New Roman"/>
          <w:sz w:val="24"/>
          <w:szCs w:val="24"/>
        </w:rPr>
        <w:t xml:space="preserve"> dictated by serendipity or accident. The gambler's miscalculation may achieve an unexpected outcome, positive or negative. At times, betting regulations intend to confuse the </w:t>
      </w:r>
      <w:r w:rsidR="008A348A" w:rsidRPr="00B053CD">
        <w:rPr>
          <w:rFonts w:ascii="Times New Roman" w:hAnsi="Times New Roman" w:cs="Times New Roman"/>
          <w:sz w:val="24"/>
          <w:szCs w:val="24"/>
        </w:rPr>
        <w:t>connection</w:t>
      </w:r>
      <w:r w:rsidR="00986A8E" w:rsidRPr="00B053CD">
        <w:rPr>
          <w:rFonts w:ascii="Times New Roman" w:hAnsi="Times New Roman" w:cs="Times New Roman"/>
          <w:sz w:val="24"/>
          <w:szCs w:val="24"/>
        </w:rPr>
        <w:t xml:space="preserve"> between the game parts depending on skill and chance, such that some gamblers may </w:t>
      </w:r>
      <w:r w:rsidR="008A348A" w:rsidRPr="00B053CD">
        <w:rPr>
          <w:rFonts w:ascii="Times New Roman" w:hAnsi="Times New Roman" w:cs="Times New Roman"/>
          <w:sz w:val="24"/>
          <w:szCs w:val="24"/>
        </w:rPr>
        <w:t>manipulate</w:t>
      </w:r>
      <w:r w:rsidR="00986A8E" w:rsidRPr="00B053CD">
        <w:rPr>
          <w:rFonts w:ascii="Times New Roman" w:hAnsi="Times New Roman" w:cs="Times New Roman"/>
          <w:sz w:val="24"/>
          <w:szCs w:val="24"/>
        </w:rPr>
        <w:t xml:space="preserve"> the game to align with their interests. Some gambling games allow the players to participate in the </w:t>
      </w:r>
      <w:r w:rsidR="008A348A" w:rsidRPr="00B053CD">
        <w:rPr>
          <w:rFonts w:ascii="Times New Roman" w:hAnsi="Times New Roman" w:cs="Times New Roman"/>
          <w:sz w:val="24"/>
          <w:szCs w:val="24"/>
        </w:rPr>
        <w:t>play itself while staking on its result. However, other games prohibit active participation in both gambling and playing, such as football.</w:t>
      </w:r>
    </w:p>
    <w:p w14:paraId="127AA963" w14:textId="667607DD" w:rsidR="008A348A"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Importance of addressing Gambling Problems</w:t>
      </w:r>
    </w:p>
    <w:p w14:paraId="591899E7" w14:textId="055BC6C0" w:rsidR="008A348A"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 xml:space="preserve">Betting problems </w:t>
      </w:r>
      <w:r w:rsidRPr="00B053CD">
        <w:rPr>
          <w:rFonts w:ascii="Times New Roman" w:hAnsi="Times New Roman" w:cs="Times New Roman"/>
          <w:sz w:val="24"/>
          <w:szCs w:val="24"/>
        </w:rPr>
        <w:t>affect people in an unselective manner, implying that they can affect people from any walk of life</w:t>
      </w:r>
      <w:r w:rsidR="00430960" w:rsidRPr="00B053CD">
        <w:rPr>
          <w:rFonts w:ascii="Times New Roman" w:hAnsi="Times New Roman" w:cs="Times New Roman"/>
          <w:sz w:val="24"/>
          <w:szCs w:val="24"/>
        </w:rPr>
        <w:t xml:space="preserve"> (</w:t>
      </w:r>
      <w:r w:rsidR="00430960" w:rsidRPr="00B053CD">
        <w:rPr>
          <w:rFonts w:ascii="Times New Roman" w:hAnsi="Times New Roman" w:cs="Times New Roman"/>
          <w:color w:val="222222"/>
          <w:sz w:val="24"/>
          <w:szCs w:val="24"/>
          <w:shd w:val="clear" w:color="auto" w:fill="FFFFFF"/>
        </w:rPr>
        <w:t>Potenza et al., 2019)</w:t>
      </w:r>
      <w:r w:rsidRPr="00B053CD">
        <w:rPr>
          <w:rFonts w:ascii="Times New Roman" w:hAnsi="Times New Roman" w:cs="Times New Roman"/>
          <w:sz w:val="24"/>
          <w:szCs w:val="24"/>
        </w:rPr>
        <w:t xml:space="preserve">. Gambling activities may progress from fun </w:t>
      </w:r>
      <w:r w:rsidR="00587BCD" w:rsidRPr="00B053CD">
        <w:rPr>
          <w:rFonts w:ascii="Times New Roman" w:hAnsi="Times New Roman" w:cs="Times New Roman"/>
          <w:sz w:val="24"/>
          <w:szCs w:val="24"/>
        </w:rPr>
        <w:t>events to</w:t>
      </w:r>
      <w:r w:rsidRPr="00B053CD">
        <w:rPr>
          <w:rFonts w:ascii="Times New Roman" w:hAnsi="Times New Roman" w:cs="Times New Roman"/>
          <w:sz w:val="24"/>
          <w:szCs w:val="24"/>
        </w:rPr>
        <w:t xml:space="preserve"> an unhealthy obsession with severe outcomes. Regardless of betting, staking probl</w:t>
      </w:r>
      <w:r w:rsidRPr="00B053CD">
        <w:rPr>
          <w:rFonts w:ascii="Times New Roman" w:hAnsi="Times New Roman" w:cs="Times New Roman"/>
          <w:sz w:val="24"/>
          <w:szCs w:val="24"/>
        </w:rPr>
        <w:t xml:space="preserve">ems can complicate one's relationship, affect a person's career, and cause financial adversaries. Some individuals </w:t>
      </w:r>
      <w:r w:rsidR="00587BCD" w:rsidRPr="00B053CD">
        <w:rPr>
          <w:rFonts w:ascii="Times New Roman" w:hAnsi="Times New Roman" w:cs="Times New Roman"/>
          <w:sz w:val="24"/>
          <w:szCs w:val="24"/>
        </w:rPr>
        <w:t>end up doing unexpected things such as accruing huge debts or engaging in money theft to satisfy their quest for gambling. Gambling disorder, an impulsive-control disorder, makes people unable to regulate their impulse to bet despite its adverse effects on them and their families. People with this disorder are likely to stake whether broke, flush or when the odds do not favor them in situations that they cannot afford to lose.</w:t>
      </w:r>
    </w:p>
    <w:p w14:paraId="4083C344" w14:textId="46598658" w:rsidR="00C74F7C"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lastRenderedPageBreak/>
        <w:t xml:space="preserve">Regarding the negative consequences that gambling causes to personal and social relationships, there is an urgent need to address the problems related to these activities. </w:t>
      </w:r>
      <w:r w:rsidR="002D5731" w:rsidRPr="00B053CD">
        <w:rPr>
          <w:rFonts w:ascii="Times New Roman" w:hAnsi="Times New Roman" w:cs="Times New Roman"/>
          <w:sz w:val="24"/>
          <w:szCs w:val="24"/>
        </w:rPr>
        <w:t>The federal government and the community should control betting to avert the losses and distress it causes to society members. The authorities and the public should prioritize addressing compulsive gambling disorder because some people experiencing such problems do not know their existence. Some people have gambling issues even when they have some control, making them exposed to further harm. Again, gambling serves as a precursor to other problems, such as substance &amp; drug abuse, uncontrolled attention-deficit /hyperactivity disorder (ADHD), psychological distress, and bipolar disorder.</w:t>
      </w:r>
    </w:p>
    <w:p w14:paraId="7383BFBF" w14:textId="6174C47F" w:rsidR="00C74F7C"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How Common is the Gambling Problem?</w:t>
      </w:r>
    </w:p>
    <w:p w14:paraId="57A32A0E" w14:textId="2F9478EC" w:rsidR="00C74F7C"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Statistics of gambling addiction illustrate how betting manifests itself in certain populations in the United States</w:t>
      </w:r>
      <w:r w:rsidR="009A2DF0" w:rsidRPr="00B053CD">
        <w:rPr>
          <w:rFonts w:ascii="Times New Roman" w:hAnsi="Times New Roman" w:cs="Times New Roman"/>
          <w:sz w:val="24"/>
          <w:szCs w:val="24"/>
        </w:rPr>
        <w:t xml:space="preserve"> (</w:t>
      </w:r>
      <w:r w:rsidR="009A2DF0" w:rsidRPr="00B053CD">
        <w:rPr>
          <w:rFonts w:ascii="Times New Roman" w:hAnsi="Times New Roman" w:cs="Times New Roman"/>
          <w:color w:val="222222"/>
          <w:sz w:val="24"/>
          <w:szCs w:val="24"/>
          <w:shd w:val="clear" w:color="auto" w:fill="FFFFFF"/>
        </w:rPr>
        <w:t>Hing et al., 2016)</w:t>
      </w:r>
      <w:r w:rsidRPr="00B053CD">
        <w:rPr>
          <w:rFonts w:ascii="Times New Roman" w:hAnsi="Times New Roman" w:cs="Times New Roman"/>
          <w:sz w:val="24"/>
          <w:szCs w:val="24"/>
        </w:rPr>
        <w:t>. People who have alcohol use issues have a</w:t>
      </w:r>
      <w:r w:rsidRPr="00B053CD">
        <w:rPr>
          <w:rFonts w:ascii="Times New Roman" w:hAnsi="Times New Roman" w:cs="Times New Roman"/>
          <w:sz w:val="24"/>
          <w:szCs w:val="24"/>
        </w:rPr>
        <w:t xml:space="preserve">n increased chance of falling in to trap of gambling problems. Previous studies indicated that more than 80-percent of grown-up </w:t>
      </w:r>
      <w:r w:rsidR="007B645E" w:rsidRPr="00B053CD">
        <w:rPr>
          <w:rFonts w:ascii="Times New Roman" w:hAnsi="Times New Roman" w:cs="Times New Roman"/>
          <w:sz w:val="24"/>
          <w:szCs w:val="24"/>
        </w:rPr>
        <w:t>Americans participate</w:t>
      </w:r>
      <w:r w:rsidRPr="00B053CD">
        <w:rPr>
          <w:rFonts w:ascii="Times New Roman" w:hAnsi="Times New Roman" w:cs="Times New Roman"/>
          <w:sz w:val="24"/>
          <w:szCs w:val="24"/>
        </w:rPr>
        <w:t xml:space="preserve"> in </w:t>
      </w:r>
      <w:r w:rsidR="007B645E" w:rsidRPr="00B053CD">
        <w:rPr>
          <w:rFonts w:ascii="Times New Roman" w:hAnsi="Times New Roman" w:cs="Times New Roman"/>
          <w:sz w:val="24"/>
          <w:szCs w:val="24"/>
        </w:rPr>
        <w:t>gambling</w:t>
      </w:r>
      <w:r w:rsidRPr="00B053CD">
        <w:rPr>
          <w:rFonts w:ascii="Times New Roman" w:hAnsi="Times New Roman" w:cs="Times New Roman"/>
          <w:sz w:val="24"/>
          <w:szCs w:val="24"/>
        </w:rPr>
        <w:t xml:space="preserve"> activities at least once a year. Again, three to five bettors in every hundred </w:t>
      </w:r>
      <w:r w:rsidR="007B645E" w:rsidRPr="00B053CD">
        <w:rPr>
          <w:rFonts w:ascii="Times New Roman" w:hAnsi="Times New Roman" w:cs="Times New Roman"/>
          <w:sz w:val="24"/>
          <w:szCs w:val="24"/>
        </w:rPr>
        <w:t>strains</w:t>
      </w:r>
      <w:r w:rsidRPr="00B053CD">
        <w:rPr>
          <w:rFonts w:ascii="Times New Roman" w:hAnsi="Times New Roman" w:cs="Times New Roman"/>
          <w:sz w:val="24"/>
          <w:szCs w:val="24"/>
        </w:rPr>
        <w:t xml:space="preserve"> with be</w:t>
      </w:r>
      <w:r w:rsidRPr="00B053CD">
        <w:rPr>
          <w:rFonts w:ascii="Times New Roman" w:hAnsi="Times New Roman" w:cs="Times New Roman"/>
          <w:sz w:val="24"/>
          <w:szCs w:val="24"/>
        </w:rPr>
        <w:t xml:space="preserve">tting </w:t>
      </w:r>
      <w:r w:rsidR="007B645E" w:rsidRPr="00B053CD">
        <w:rPr>
          <w:rFonts w:ascii="Times New Roman" w:hAnsi="Times New Roman" w:cs="Times New Roman"/>
          <w:sz w:val="24"/>
          <w:szCs w:val="24"/>
        </w:rPr>
        <w:t>issues, with over 750,000 youths experiencing gambling addiction. The other aspect that shows the prevalence of gambling problems is college staking. Statistics indicate that persons aged 20-30 have the most significant levels of pathological gambling. It is an alarming reality that 75-percent of college learners engage in gambling activities. These statistics imply that the probability of developing compulsive gambling doubles for youths in a college setting. As a result, approximately six percent of United States college students fight betting problems.</w:t>
      </w:r>
    </w:p>
    <w:p w14:paraId="2FC775AE" w14:textId="2545010C" w:rsidR="007B645E"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People Affected by Gambling</w:t>
      </w:r>
    </w:p>
    <w:p w14:paraId="6345F7A8" w14:textId="7D1138E3" w:rsidR="007B645E"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lastRenderedPageBreak/>
        <w:t xml:space="preserve">First, individuals involved in </w:t>
      </w:r>
      <w:r w:rsidR="00655855" w:rsidRPr="00B053CD">
        <w:rPr>
          <w:rFonts w:ascii="Times New Roman" w:hAnsi="Times New Roman" w:cs="Times New Roman"/>
          <w:sz w:val="24"/>
          <w:szCs w:val="24"/>
        </w:rPr>
        <w:t>active gambling</w:t>
      </w:r>
      <w:r w:rsidRPr="00B053CD">
        <w:rPr>
          <w:rFonts w:ascii="Times New Roman" w:hAnsi="Times New Roman" w:cs="Times New Roman"/>
          <w:sz w:val="24"/>
          <w:szCs w:val="24"/>
        </w:rPr>
        <w:t xml:space="preserve"> suffer the severest impacts of betting. </w:t>
      </w:r>
      <w:r w:rsidR="00655855" w:rsidRPr="00B053CD">
        <w:rPr>
          <w:rFonts w:ascii="Times New Roman" w:hAnsi="Times New Roman" w:cs="Times New Roman"/>
          <w:sz w:val="24"/>
          <w:szCs w:val="24"/>
        </w:rPr>
        <w:t>The persons' social, political, and economic lives are wrecked due to the issues that arise from their gambling actions</w:t>
      </w:r>
      <w:r w:rsidR="009A2DF0" w:rsidRPr="00B053CD">
        <w:rPr>
          <w:rFonts w:ascii="Times New Roman" w:hAnsi="Times New Roman" w:cs="Times New Roman"/>
          <w:sz w:val="24"/>
          <w:szCs w:val="24"/>
        </w:rPr>
        <w:t xml:space="preserve"> (</w:t>
      </w:r>
      <w:r w:rsidR="009A2DF0" w:rsidRPr="00B053CD">
        <w:rPr>
          <w:rFonts w:ascii="Times New Roman" w:hAnsi="Times New Roman" w:cs="Times New Roman"/>
          <w:color w:val="222222"/>
          <w:sz w:val="24"/>
          <w:szCs w:val="24"/>
          <w:shd w:val="clear" w:color="auto" w:fill="FFFFFF"/>
        </w:rPr>
        <w:t>Potenza et al., 2019)</w:t>
      </w:r>
      <w:r w:rsidR="00655855" w:rsidRPr="00B053CD">
        <w:rPr>
          <w:rFonts w:ascii="Times New Roman" w:hAnsi="Times New Roman" w:cs="Times New Roman"/>
          <w:sz w:val="24"/>
          <w:szCs w:val="24"/>
        </w:rPr>
        <w:t xml:space="preserve">. Secondly, the lives of related people change for the worse, especially due to economic constraints when the breadwinner spends the entire finances on betting. As a result, many families break, leading to mental problems in kids who are left to struggle with low living standards. Gambling further extends to the national level since affected people do not participate in important governmental activities such as voting. </w:t>
      </w:r>
    </w:p>
    <w:p w14:paraId="1E46B9FB" w14:textId="50D7BF6E" w:rsidR="00655855"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 xml:space="preserve">Current Policies on </w:t>
      </w:r>
      <w:r w:rsidRPr="00B053CD">
        <w:rPr>
          <w:rFonts w:ascii="Times New Roman" w:hAnsi="Times New Roman" w:cs="Times New Roman"/>
          <w:sz w:val="24"/>
          <w:szCs w:val="24"/>
        </w:rPr>
        <w:t>Gambling</w:t>
      </w:r>
    </w:p>
    <w:p w14:paraId="54BB11CD" w14:textId="5C09AD45" w:rsidR="002B6F02"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 xml:space="preserve">The </w:t>
      </w:r>
      <w:r w:rsidR="005A0273" w:rsidRPr="00B053CD">
        <w:rPr>
          <w:rFonts w:ascii="Times New Roman" w:hAnsi="Times New Roman" w:cs="Times New Roman"/>
          <w:sz w:val="24"/>
          <w:szCs w:val="24"/>
        </w:rPr>
        <w:t>United States federal law allows gambling while offering each state freedom to control or ban betting practices within its borders</w:t>
      </w:r>
      <w:r w:rsidR="009A2DF0" w:rsidRPr="00B053CD">
        <w:rPr>
          <w:rFonts w:ascii="Times New Roman" w:hAnsi="Times New Roman" w:cs="Times New Roman"/>
          <w:sz w:val="24"/>
          <w:szCs w:val="24"/>
        </w:rPr>
        <w:t xml:space="preserve"> (</w:t>
      </w:r>
      <w:r w:rsidR="009A2DF0" w:rsidRPr="00B053CD">
        <w:rPr>
          <w:rFonts w:ascii="Times New Roman" w:hAnsi="Times New Roman" w:cs="Times New Roman"/>
          <w:color w:val="222222"/>
          <w:sz w:val="24"/>
          <w:szCs w:val="24"/>
          <w:shd w:val="clear" w:color="auto" w:fill="FFFFFF"/>
        </w:rPr>
        <w:t>Winters &amp; Derevensky, 2020)</w:t>
      </w:r>
      <w:r w:rsidR="005A0273" w:rsidRPr="00B053CD">
        <w:rPr>
          <w:rFonts w:ascii="Times New Roman" w:hAnsi="Times New Roman" w:cs="Times New Roman"/>
          <w:sz w:val="24"/>
          <w:szCs w:val="24"/>
        </w:rPr>
        <w:t xml:space="preserve">. The federal regulations allow native American trust land (NATL) to host betting games provided that an agreement is achieved between the state and the ethnic authorities. This </w:t>
      </w:r>
      <w:r w:rsidR="00310363" w:rsidRPr="00B053CD">
        <w:rPr>
          <w:rFonts w:ascii="Times New Roman" w:hAnsi="Times New Roman" w:cs="Times New Roman"/>
          <w:sz w:val="24"/>
          <w:szCs w:val="24"/>
        </w:rPr>
        <w:t>agreement</w:t>
      </w:r>
      <w:r w:rsidR="005A0273" w:rsidRPr="00B053CD">
        <w:rPr>
          <w:rFonts w:ascii="Times New Roman" w:hAnsi="Times New Roman" w:cs="Times New Roman"/>
          <w:sz w:val="24"/>
          <w:szCs w:val="24"/>
        </w:rPr>
        <w:t xml:space="preserve"> is specified </w:t>
      </w:r>
      <w:r w:rsidR="00310363" w:rsidRPr="00B053CD">
        <w:rPr>
          <w:rFonts w:ascii="Times New Roman" w:hAnsi="Times New Roman" w:cs="Times New Roman"/>
          <w:sz w:val="24"/>
          <w:szCs w:val="24"/>
        </w:rPr>
        <w:t>under</w:t>
      </w:r>
      <w:r w:rsidR="005A0273" w:rsidRPr="00B053CD">
        <w:rPr>
          <w:rFonts w:ascii="Times New Roman" w:hAnsi="Times New Roman" w:cs="Times New Roman"/>
          <w:sz w:val="24"/>
          <w:szCs w:val="24"/>
        </w:rPr>
        <w:t xml:space="preserve"> the Indian Gaming Regulatory Act of 1988. In 2020, Nevada and Louisiana were the only states that still allowed casino-style betting, although both states have approved zoning and licensing controls. </w:t>
      </w:r>
      <w:r w:rsidR="003D1B5B" w:rsidRPr="00B053CD">
        <w:rPr>
          <w:rFonts w:ascii="Times New Roman" w:hAnsi="Times New Roman" w:cs="Times New Roman"/>
          <w:sz w:val="24"/>
          <w:szCs w:val="24"/>
        </w:rPr>
        <w:t xml:space="preserve">Again, some states have restricted casinos to "riverboats," which are huge multiple-story barges perpetually moored in a water body. In addition, online gambling is strictly controlled by the federal wire act of 1961 that illegalized interstate sports wagering. However, this act failed to deal with </w:t>
      </w:r>
      <w:r w:rsidR="00310363" w:rsidRPr="00B053CD">
        <w:rPr>
          <w:rFonts w:ascii="Times New Roman" w:hAnsi="Times New Roman" w:cs="Times New Roman"/>
          <w:sz w:val="24"/>
          <w:szCs w:val="24"/>
        </w:rPr>
        <w:t>other</w:t>
      </w:r>
      <w:r w:rsidR="003D1B5B" w:rsidRPr="00B053CD">
        <w:rPr>
          <w:rFonts w:ascii="Times New Roman" w:hAnsi="Times New Roman" w:cs="Times New Roman"/>
          <w:sz w:val="24"/>
          <w:szCs w:val="24"/>
        </w:rPr>
        <w:t xml:space="preserve"> gambling forms making it a court case subject to date.</w:t>
      </w:r>
    </w:p>
    <w:p w14:paraId="0B1EABC4" w14:textId="755D86CD" w:rsidR="002B6F02"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 xml:space="preserve">Other policies that regulate gambling include the 2006 unlawful internet gambling enforcement act (UIGEA). </w:t>
      </w:r>
      <w:r w:rsidR="009A2DF0" w:rsidRPr="00B053CD">
        <w:rPr>
          <w:rFonts w:ascii="Times New Roman" w:hAnsi="Times New Roman" w:cs="Times New Roman"/>
          <w:color w:val="222222"/>
          <w:sz w:val="24"/>
          <w:szCs w:val="24"/>
          <w:shd w:val="clear" w:color="auto" w:fill="FFFFFF"/>
        </w:rPr>
        <w:t>Winters &amp; Derevensky</w:t>
      </w:r>
      <w:r w:rsidR="009A2DF0" w:rsidRPr="00B053CD">
        <w:rPr>
          <w:rFonts w:ascii="Times New Roman" w:hAnsi="Times New Roman" w:cs="Times New Roman"/>
          <w:sz w:val="24"/>
          <w:szCs w:val="24"/>
        </w:rPr>
        <w:t xml:space="preserve"> (2020), asserted t</w:t>
      </w:r>
      <w:r w:rsidRPr="00B053CD">
        <w:rPr>
          <w:rFonts w:ascii="Times New Roman" w:hAnsi="Times New Roman" w:cs="Times New Roman"/>
          <w:sz w:val="24"/>
          <w:szCs w:val="24"/>
        </w:rPr>
        <w:t xml:space="preserve">his act prohibited monetary dealings associated with online </w:t>
      </w:r>
      <w:r w:rsidRPr="00B053CD">
        <w:rPr>
          <w:rFonts w:ascii="Times New Roman" w:hAnsi="Times New Roman" w:cs="Times New Roman"/>
          <w:sz w:val="24"/>
          <w:szCs w:val="24"/>
        </w:rPr>
        <w:t xml:space="preserve">betting service providers that made several offshore gambling </w:t>
      </w:r>
      <w:r w:rsidR="001B0994" w:rsidRPr="00B053CD">
        <w:rPr>
          <w:rFonts w:ascii="Times New Roman" w:hAnsi="Times New Roman" w:cs="Times New Roman"/>
          <w:sz w:val="24"/>
          <w:szCs w:val="24"/>
        </w:rPr>
        <w:t>industries</w:t>
      </w:r>
      <w:r w:rsidRPr="00B053CD">
        <w:rPr>
          <w:rFonts w:ascii="Times New Roman" w:hAnsi="Times New Roman" w:cs="Times New Roman"/>
          <w:sz w:val="24"/>
          <w:szCs w:val="24"/>
        </w:rPr>
        <w:t xml:space="preserve"> terminate their services for American citizens. However, the UIGEA regulation did not outlaw online betting. </w:t>
      </w:r>
      <w:r w:rsidR="00C176F6" w:rsidRPr="00B053CD">
        <w:rPr>
          <w:rFonts w:ascii="Times New Roman" w:hAnsi="Times New Roman" w:cs="Times New Roman"/>
          <w:sz w:val="24"/>
          <w:szCs w:val="24"/>
        </w:rPr>
        <w:t xml:space="preserve">Also, the transportation of gambling devices act of 1951 (TGDA) states </w:t>
      </w:r>
      <w:r w:rsidR="00C176F6" w:rsidRPr="00B053CD">
        <w:rPr>
          <w:rFonts w:ascii="Times New Roman" w:hAnsi="Times New Roman" w:cs="Times New Roman"/>
          <w:sz w:val="24"/>
          <w:szCs w:val="24"/>
        </w:rPr>
        <w:lastRenderedPageBreak/>
        <w:t xml:space="preserve">that it is illegal to knowingly move a betting device to a state that prohibits the use of such a device. This act requires that developers and transporters of gaming devices for interstate business renew their registration annually with the U.S. Department of Justice (DOJ). The act further demands appropriate device marking for transportation. Lastly, the U.S. Congress voted for the bank </w:t>
      </w:r>
      <w:r w:rsidR="001B0994" w:rsidRPr="00B053CD">
        <w:rPr>
          <w:rFonts w:ascii="Times New Roman" w:hAnsi="Times New Roman" w:cs="Times New Roman"/>
          <w:sz w:val="24"/>
          <w:szCs w:val="24"/>
        </w:rPr>
        <w:t>records</w:t>
      </w:r>
      <w:r w:rsidR="00C176F6" w:rsidRPr="00B053CD">
        <w:rPr>
          <w:rFonts w:ascii="Times New Roman" w:hAnsi="Times New Roman" w:cs="Times New Roman"/>
          <w:sz w:val="24"/>
          <w:szCs w:val="24"/>
        </w:rPr>
        <w:t xml:space="preserve"> and foreign transaction act (BRFTA) in 1970. The act directed monetary institutions to report all money dealings greater than $10 000 to combat money laundering. The </w:t>
      </w:r>
      <w:r w:rsidR="001B0994" w:rsidRPr="00B053CD">
        <w:rPr>
          <w:rFonts w:ascii="Times New Roman" w:hAnsi="Times New Roman" w:cs="Times New Roman"/>
          <w:sz w:val="24"/>
          <w:szCs w:val="24"/>
        </w:rPr>
        <w:t>treasury department extended the restriction,</w:t>
      </w:r>
      <w:r w:rsidR="00C176F6" w:rsidRPr="00B053CD">
        <w:rPr>
          <w:rFonts w:ascii="Times New Roman" w:hAnsi="Times New Roman" w:cs="Times New Roman"/>
          <w:sz w:val="24"/>
          <w:szCs w:val="24"/>
        </w:rPr>
        <w:t xml:space="preserve"> which originally targeted banks </w:t>
      </w:r>
      <w:r w:rsidR="00310363" w:rsidRPr="00B053CD">
        <w:rPr>
          <w:rFonts w:ascii="Times New Roman" w:hAnsi="Times New Roman" w:cs="Times New Roman"/>
          <w:sz w:val="24"/>
          <w:szCs w:val="24"/>
        </w:rPr>
        <w:t>to include casinos in 1985.</w:t>
      </w:r>
    </w:p>
    <w:p w14:paraId="45E1A8E0" w14:textId="0EB3630A" w:rsidR="001B0994"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Opinion on Needed Changes</w:t>
      </w:r>
    </w:p>
    <w:p w14:paraId="26B31411" w14:textId="214648AA" w:rsidR="00416074"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In my view, the current gambling policies exhibit critical gaps that legi</w:t>
      </w:r>
      <w:r w:rsidRPr="00B053CD">
        <w:rPr>
          <w:rFonts w:ascii="Times New Roman" w:hAnsi="Times New Roman" w:cs="Times New Roman"/>
          <w:sz w:val="24"/>
          <w:szCs w:val="24"/>
        </w:rPr>
        <w:t>slators should mend to address the prevalent gambling issues in society. For example, the U.S. Senate should amend the UIGEA act to incorporate the banning of all online betting activities, provided that these platforms are highly addictive to young Americ</w:t>
      </w:r>
      <w:r w:rsidRPr="00B053CD">
        <w:rPr>
          <w:rFonts w:ascii="Times New Roman" w:hAnsi="Times New Roman" w:cs="Times New Roman"/>
          <w:sz w:val="24"/>
          <w:szCs w:val="24"/>
        </w:rPr>
        <w:t>ans who ultimately become unable to control their gaming activities due to addiction. Secondly, casino gaming activities and other forms of gambling that do not occur on online platforms should be regulated. For example, gaming laws should raise the minimu</w:t>
      </w:r>
      <w:r w:rsidRPr="00B053CD">
        <w:rPr>
          <w:rFonts w:ascii="Times New Roman" w:hAnsi="Times New Roman" w:cs="Times New Roman"/>
          <w:sz w:val="24"/>
          <w:szCs w:val="24"/>
        </w:rPr>
        <w:t>m stake for these betting activities to $500 to deter financially unstable Americans from participating in these risky activities. Finally, the gaming control board (GCB) should exercise further restrictions on prospective investors in the sector to preven</w:t>
      </w:r>
      <w:r w:rsidRPr="00B053CD">
        <w:rPr>
          <w:rFonts w:ascii="Times New Roman" w:hAnsi="Times New Roman" w:cs="Times New Roman"/>
          <w:sz w:val="24"/>
          <w:szCs w:val="24"/>
        </w:rPr>
        <w:t>t any violations of the set staking policies.</w:t>
      </w:r>
    </w:p>
    <w:p w14:paraId="205E6DAA" w14:textId="27CD473F" w:rsidR="00416074"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t>Potential Influencers to Policy Establishment</w:t>
      </w:r>
    </w:p>
    <w:p w14:paraId="4E7B971B" w14:textId="77777777" w:rsidR="00DE0A6A" w:rsidRPr="00B053CD" w:rsidRDefault="00D436A5" w:rsidP="009F542A">
      <w:pPr>
        <w:spacing w:line="480" w:lineRule="auto"/>
        <w:ind w:firstLine="720"/>
        <w:rPr>
          <w:rFonts w:ascii="Times New Roman" w:hAnsi="Times New Roman" w:cs="Times New Roman"/>
          <w:sz w:val="24"/>
          <w:szCs w:val="24"/>
        </w:rPr>
      </w:pPr>
      <w:r w:rsidRPr="00B053CD">
        <w:rPr>
          <w:rFonts w:ascii="Times New Roman" w:hAnsi="Times New Roman" w:cs="Times New Roman"/>
          <w:sz w:val="24"/>
          <w:szCs w:val="24"/>
        </w:rPr>
        <w:t xml:space="preserve">The key players in establishing the suggested gambling policies are the legislative arms of state and federal governments. Due to legislators' influence, they can </w:t>
      </w:r>
      <w:r w:rsidRPr="00B053CD">
        <w:rPr>
          <w:rFonts w:ascii="Times New Roman" w:hAnsi="Times New Roman" w:cs="Times New Roman"/>
          <w:sz w:val="24"/>
          <w:szCs w:val="24"/>
        </w:rPr>
        <w:t xml:space="preserve">easily exercise control </w:t>
      </w:r>
      <w:r w:rsidRPr="00B053CD">
        <w:rPr>
          <w:rFonts w:ascii="Times New Roman" w:hAnsi="Times New Roman" w:cs="Times New Roman"/>
          <w:sz w:val="24"/>
          <w:szCs w:val="24"/>
        </w:rPr>
        <w:lastRenderedPageBreak/>
        <w:t>over the gaming industry by preparing bills that they enact into law to uphold the well-being of society. Again, civil rights associations and activists have a role in establishing these policies since they influence the communities</w:t>
      </w:r>
      <w:r w:rsidRPr="00B053CD">
        <w:rPr>
          <w:rFonts w:ascii="Times New Roman" w:hAnsi="Times New Roman" w:cs="Times New Roman"/>
          <w:sz w:val="24"/>
          <w:szCs w:val="24"/>
        </w:rPr>
        <w:t xml:space="preserve"> and can be easily heard by the responsible government agencies. Lastly, the judiciary would possibly play an important part in closing the gaps in current gaming policies. The DOJ can provide a critical interpretation of gambling laws to enable legislator</w:t>
      </w:r>
      <w:r w:rsidRPr="00B053CD">
        <w:rPr>
          <w:rFonts w:ascii="Times New Roman" w:hAnsi="Times New Roman" w:cs="Times New Roman"/>
          <w:sz w:val="24"/>
          <w:szCs w:val="24"/>
        </w:rPr>
        <w:t>s to understand the areas that need rectification. The cooperation between the DOJ and the U.S. Congress would result in watertight regulations that would prevent players in the gaming industries from circumventing g the current betting acts for self-gains</w:t>
      </w:r>
    </w:p>
    <w:p w14:paraId="2822BC4A" w14:textId="77777777" w:rsidR="000D048B" w:rsidRPr="00B053CD" w:rsidRDefault="00D436A5" w:rsidP="009F542A">
      <w:pPr>
        <w:spacing w:line="480" w:lineRule="auto"/>
        <w:rPr>
          <w:rFonts w:ascii="Times New Roman" w:hAnsi="Times New Roman" w:cs="Times New Roman"/>
          <w:sz w:val="24"/>
          <w:szCs w:val="24"/>
        </w:rPr>
      </w:pPr>
      <w:r w:rsidRPr="00B053CD">
        <w:rPr>
          <w:rFonts w:ascii="Times New Roman" w:hAnsi="Times New Roman" w:cs="Times New Roman"/>
          <w:sz w:val="24"/>
          <w:szCs w:val="24"/>
        </w:rPr>
        <w:br w:type="page"/>
      </w:r>
    </w:p>
    <w:p w14:paraId="1930C33E" w14:textId="7D8A89CD" w:rsidR="000D048B" w:rsidRPr="00B053CD" w:rsidRDefault="00D436A5" w:rsidP="009F542A">
      <w:pPr>
        <w:spacing w:line="480" w:lineRule="auto"/>
        <w:ind w:firstLine="720"/>
        <w:jc w:val="center"/>
        <w:rPr>
          <w:rFonts w:ascii="Times New Roman" w:hAnsi="Times New Roman" w:cs="Times New Roman"/>
          <w:sz w:val="24"/>
          <w:szCs w:val="24"/>
        </w:rPr>
      </w:pPr>
      <w:r w:rsidRPr="00B053CD">
        <w:rPr>
          <w:rFonts w:ascii="Times New Roman" w:hAnsi="Times New Roman" w:cs="Times New Roman"/>
          <w:sz w:val="24"/>
          <w:szCs w:val="24"/>
        </w:rPr>
        <w:lastRenderedPageBreak/>
        <w:t>References</w:t>
      </w:r>
    </w:p>
    <w:p w14:paraId="383AC817" w14:textId="77777777" w:rsidR="00B053CD" w:rsidRPr="00B053CD" w:rsidRDefault="00D436A5" w:rsidP="009F542A">
      <w:pPr>
        <w:spacing w:line="480" w:lineRule="auto"/>
        <w:ind w:left="720" w:hanging="720"/>
        <w:rPr>
          <w:rFonts w:ascii="Times New Roman" w:hAnsi="Times New Roman" w:cs="Times New Roman"/>
          <w:color w:val="222222"/>
          <w:sz w:val="24"/>
          <w:szCs w:val="24"/>
          <w:shd w:val="clear" w:color="auto" w:fill="FFFFFF"/>
        </w:rPr>
      </w:pPr>
      <w:r w:rsidRPr="00B053CD">
        <w:rPr>
          <w:rFonts w:ascii="Times New Roman" w:hAnsi="Times New Roman" w:cs="Times New Roman"/>
          <w:color w:val="222222"/>
          <w:sz w:val="24"/>
          <w:szCs w:val="24"/>
          <w:shd w:val="clear" w:color="auto" w:fill="FFFFFF"/>
        </w:rPr>
        <w:t xml:space="preserve">Hing, N., Russell, A. M., Vitartas, P., &amp; Lamont, M. (2016). Demographic, behavioral, and normative risk factors for gambling problems amongst sports bettors. </w:t>
      </w:r>
      <w:r w:rsidRPr="00B053CD">
        <w:rPr>
          <w:rFonts w:ascii="Times New Roman" w:hAnsi="Times New Roman" w:cs="Times New Roman"/>
          <w:i/>
          <w:iCs/>
          <w:color w:val="222222"/>
          <w:sz w:val="24"/>
          <w:szCs w:val="24"/>
          <w:shd w:val="clear" w:color="auto" w:fill="FFFFFF"/>
        </w:rPr>
        <w:t>Journal of gambling studies</w:t>
      </w:r>
      <w:r w:rsidRPr="00B053CD">
        <w:rPr>
          <w:rFonts w:ascii="Times New Roman" w:hAnsi="Times New Roman" w:cs="Times New Roman"/>
          <w:color w:val="222222"/>
          <w:sz w:val="24"/>
          <w:szCs w:val="24"/>
          <w:shd w:val="clear" w:color="auto" w:fill="FFFFFF"/>
        </w:rPr>
        <w:t>, </w:t>
      </w:r>
      <w:r w:rsidRPr="00B053CD">
        <w:rPr>
          <w:rFonts w:ascii="Times New Roman" w:hAnsi="Times New Roman" w:cs="Times New Roman"/>
          <w:i/>
          <w:iCs/>
          <w:color w:val="222222"/>
          <w:sz w:val="24"/>
          <w:szCs w:val="24"/>
          <w:shd w:val="clear" w:color="auto" w:fill="FFFFFF"/>
        </w:rPr>
        <w:t>32</w:t>
      </w:r>
      <w:r w:rsidRPr="00B053CD">
        <w:rPr>
          <w:rFonts w:ascii="Times New Roman" w:hAnsi="Times New Roman" w:cs="Times New Roman"/>
          <w:color w:val="222222"/>
          <w:sz w:val="24"/>
          <w:szCs w:val="24"/>
          <w:shd w:val="clear" w:color="auto" w:fill="FFFFFF"/>
        </w:rPr>
        <w:t>(2), 625-641.</w:t>
      </w:r>
    </w:p>
    <w:p w14:paraId="421ADB9E" w14:textId="77777777" w:rsidR="00B053CD" w:rsidRPr="00B053CD" w:rsidRDefault="00D436A5" w:rsidP="009F542A">
      <w:pPr>
        <w:spacing w:line="480" w:lineRule="auto"/>
        <w:ind w:left="720" w:hanging="720"/>
        <w:rPr>
          <w:rFonts w:ascii="Times New Roman" w:hAnsi="Times New Roman" w:cs="Times New Roman"/>
          <w:color w:val="222222"/>
          <w:sz w:val="24"/>
          <w:szCs w:val="24"/>
          <w:shd w:val="clear" w:color="auto" w:fill="FFFFFF"/>
        </w:rPr>
      </w:pPr>
      <w:r w:rsidRPr="00B053CD">
        <w:rPr>
          <w:rFonts w:ascii="Times New Roman" w:hAnsi="Times New Roman" w:cs="Times New Roman"/>
          <w:color w:val="222222"/>
          <w:sz w:val="24"/>
          <w:szCs w:val="24"/>
          <w:shd w:val="clear" w:color="auto" w:fill="FFFFFF"/>
        </w:rPr>
        <w:t>Potenza, M. N., Balodis, I. M., Dereve</w:t>
      </w:r>
      <w:r w:rsidRPr="00B053CD">
        <w:rPr>
          <w:rFonts w:ascii="Times New Roman" w:hAnsi="Times New Roman" w:cs="Times New Roman"/>
          <w:color w:val="222222"/>
          <w:sz w:val="24"/>
          <w:szCs w:val="24"/>
          <w:shd w:val="clear" w:color="auto" w:fill="FFFFFF"/>
        </w:rPr>
        <w:t>nsky, J., Grant, J. E., Petry, N. M., Verdejo-Garcia, A., &amp; Yip, S. W. (2019). Gambling disorder. </w:t>
      </w:r>
      <w:r w:rsidRPr="00B053CD">
        <w:rPr>
          <w:rFonts w:ascii="Times New Roman" w:hAnsi="Times New Roman" w:cs="Times New Roman"/>
          <w:i/>
          <w:iCs/>
          <w:color w:val="222222"/>
          <w:sz w:val="24"/>
          <w:szCs w:val="24"/>
          <w:shd w:val="clear" w:color="auto" w:fill="FFFFFF"/>
        </w:rPr>
        <w:t>Nature reviews Disease primers</w:t>
      </w:r>
      <w:r w:rsidRPr="00B053CD">
        <w:rPr>
          <w:rFonts w:ascii="Times New Roman" w:hAnsi="Times New Roman" w:cs="Times New Roman"/>
          <w:color w:val="222222"/>
          <w:sz w:val="24"/>
          <w:szCs w:val="24"/>
          <w:shd w:val="clear" w:color="auto" w:fill="FFFFFF"/>
        </w:rPr>
        <w:t>.</w:t>
      </w:r>
    </w:p>
    <w:p w14:paraId="1B681E42" w14:textId="77777777" w:rsidR="00B053CD" w:rsidRPr="00B053CD" w:rsidRDefault="00D436A5" w:rsidP="009F542A">
      <w:pPr>
        <w:spacing w:line="480" w:lineRule="auto"/>
        <w:ind w:left="720" w:hanging="720"/>
        <w:rPr>
          <w:rFonts w:ascii="Times New Roman" w:hAnsi="Times New Roman" w:cs="Times New Roman"/>
          <w:color w:val="222222"/>
          <w:sz w:val="24"/>
          <w:szCs w:val="24"/>
          <w:shd w:val="clear" w:color="auto" w:fill="FFFFFF"/>
        </w:rPr>
      </w:pPr>
      <w:r w:rsidRPr="00B053CD">
        <w:rPr>
          <w:rFonts w:ascii="Times New Roman" w:hAnsi="Times New Roman" w:cs="Times New Roman"/>
          <w:color w:val="222222"/>
          <w:sz w:val="24"/>
          <w:szCs w:val="24"/>
          <w:shd w:val="clear" w:color="auto" w:fill="FFFFFF"/>
        </w:rPr>
        <w:t>Welte, J. W., Barnes, G. M., Tidwell, M. C. O., Hoffman, J. H., &amp; Wieczorek, W. F. (2016). The relationship between distance f</w:t>
      </w:r>
      <w:r w:rsidRPr="00B053CD">
        <w:rPr>
          <w:rFonts w:ascii="Times New Roman" w:hAnsi="Times New Roman" w:cs="Times New Roman"/>
          <w:color w:val="222222"/>
          <w:sz w:val="24"/>
          <w:szCs w:val="24"/>
          <w:shd w:val="clear" w:color="auto" w:fill="FFFFFF"/>
        </w:rPr>
        <w:t xml:space="preserve">rom gambling venues and gambling participation and problem gambling among U.S. adults. </w:t>
      </w:r>
      <w:r w:rsidRPr="00B053CD">
        <w:rPr>
          <w:rFonts w:ascii="Times New Roman" w:hAnsi="Times New Roman" w:cs="Times New Roman"/>
          <w:i/>
          <w:iCs/>
          <w:color w:val="222222"/>
          <w:sz w:val="24"/>
          <w:szCs w:val="24"/>
          <w:shd w:val="clear" w:color="auto" w:fill="FFFFFF"/>
        </w:rPr>
        <w:t>Journal of Gambling Studies</w:t>
      </w:r>
      <w:r w:rsidRPr="00B053CD">
        <w:rPr>
          <w:rFonts w:ascii="Times New Roman" w:hAnsi="Times New Roman" w:cs="Times New Roman"/>
          <w:color w:val="222222"/>
          <w:sz w:val="24"/>
          <w:szCs w:val="24"/>
          <w:shd w:val="clear" w:color="auto" w:fill="FFFFFF"/>
        </w:rPr>
        <w:t>.</w:t>
      </w:r>
    </w:p>
    <w:p w14:paraId="045D8600" w14:textId="77777777" w:rsidR="00B053CD" w:rsidRPr="00B053CD" w:rsidRDefault="00D436A5" w:rsidP="009F542A">
      <w:pPr>
        <w:spacing w:line="480" w:lineRule="auto"/>
        <w:ind w:left="720" w:hanging="720"/>
        <w:rPr>
          <w:rFonts w:ascii="Times New Roman" w:hAnsi="Times New Roman" w:cs="Times New Roman"/>
          <w:color w:val="222222"/>
          <w:sz w:val="24"/>
          <w:szCs w:val="24"/>
          <w:shd w:val="clear" w:color="auto" w:fill="FFFFFF"/>
        </w:rPr>
      </w:pPr>
      <w:r w:rsidRPr="00B053CD">
        <w:rPr>
          <w:rFonts w:ascii="Times New Roman" w:hAnsi="Times New Roman" w:cs="Times New Roman"/>
          <w:color w:val="222222"/>
          <w:sz w:val="24"/>
          <w:szCs w:val="24"/>
          <w:shd w:val="clear" w:color="auto" w:fill="FFFFFF"/>
        </w:rPr>
        <w:t>Winters, K. C., &amp; Derevensky, J. L. (2020). A review of sports wagering: Prevalence, characteristics of sports bettors, and association with</w:t>
      </w:r>
      <w:r w:rsidRPr="00B053CD">
        <w:rPr>
          <w:rFonts w:ascii="Times New Roman" w:hAnsi="Times New Roman" w:cs="Times New Roman"/>
          <w:color w:val="222222"/>
          <w:sz w:val="24"/>
          <w:szCs w:val="24"/>
          <w:shd w:val="clear" w:color="auto" w:fill="FFFFFF"/>
        </w:rPr>
        <w:t xml:space="preserve"> problem gambling. </w:t>
      </w:r>
      <w:r w:rsidRPr="00B053CD">
        <w:rPr>
          <w:rFonts w:ascii="Times New Roman" w:hAnsi="Times New Roman" w:cs="Times New Roman"/>
          <w:i/>
          <w:iCs/>
          <w:color w:val="222222"/>
          <w:sz w:val="24"/>
          <w:szCs w:val="24"/>
          <w:shd w:val="clear" w:color="auto" w:fill="FFFFFF"/>
        </w:rPr>
        <w:t>Journal of Gambling Issues</w:t>
      </w:r>
      <w:r w:rsidRPr="00B053CD">
        <w:rPr>
          <w:rFonts w:ascii="Times New Roman" w:hAnsi="Times New Roman" w:cs="Times New Roman"/>
          <w:color w:val="222222"/>
          <w:sz w:val="24"/>
          <w:szCs w:val="24"/>
          <w:shd w:val="clear" w:color="auto" w:fill="FFFFFF"/>
        </w:rPr>
        <w:t>.</w:t>
      </w:r>
    </w:p>
    <w:sectPr w:rsidR="00B053CD" w:rsidRPr="00B053C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A0A09" w14:textId="77777777" w:rsidR="00D436A5" w:rsidRDefault="00D436A5">
      <w:pPr>
        <w:spacing w:after="0" w:line="240" w:lineRule="auto"/>
      </w:pPr>
      <w:r>
        <w:separator/>
      </w:r>
    </w:p>
  </w:endnote>
  <w:endnote w:type="continuationSeparator" w:id="0">
    <w:p w14:paraId="7E1C65C3" w14:textId="77777777" w:rsidR="00D436A5" w:rsidRDefault="00D4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083B2" w14:textId="77777777" w:rsidR="00D436A5" w:rsidRDefault="00D436A5">
      <w:pPr>
        <w:spacing w:after="0" w:line="240" w:lineRule="auto"/>
      </w:pPr>
      <w:r>
        <w:separator/>
      </w:r>
    </w:p>
  </w:footnote>
  <w:footnote w:type="continuationSeparator" w:id="0">
    <w:p w14:paraId="5B93351C" w14:textId="77777777" w:rsidR="00D436A5" w:rsidRDefault="00D43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166738"/>
      <w:docPartObj>
        <w:docPartGallery w:val="Page Numbers (Top of Page)"/>
        <w:docPartUnique/>
      </w:docPartObj>
    </w:sdtPr>
    <w:sdtEndPr>
      <w:rPr>
        <w:rFonts w:ascii="Times New Roman" w:hAnsi="Times New Roman" w:cs="Times New Roman"/>
        <w:noProof/>
        <w:sz w:val="24"/>
        <w:szCs w:val="24"/>
      </w:rPr>
    </w:sdtEndPr>
    <w:sdtContent>
      <w:p w14:paraId="4C77FAD9" w14:textId="59DF792E" w:rsidR="00705F9F" w:rsidRPr="00705F9F" w:rsidRDefault="00D436A5">
        <w:pPr>
          <w:pStyle w:val="Header"/>
          <w:jc w:val="right"/>
          <w:rPr>
            <w:rFonts w:ascii="Times New Roman" w:hAnsi="Times New Roman" w:cs="Times New Roman"/>
            <w:sz w:val="24"/>
            <w:szCs w:val="24"/>
          </w:rPr>
        </w:pPr>
        <w:r w:rsidRPr="00705F9F">
          <w:rPr>
            <w:rFonts w:ascii="Times New Roman" w:hAnsi="Times New Roman" w:cs="Times New Roman"/>
            <w:sz w:val="24"/>
            <w:szCs w:val="24"/>
          </w:rPr>
          <w:fldChar w:fldCharType="begin"/>
        </w:r>
        <w:r w:rsidRPr="00705F9F">
          <w:rPr>
            <w:rFonts w:ascii="Times New Roman" w:hAnsi="Times New Roman" w:cs="Times New Roman"/>
            <w:sz w:val="24"/>
            <w:szCs w:val="24"/>
          </w:rPr>
          <w:instrText xml:space="preserve"> PAGE   \* MERGEFORMAT </w:instrText>
        </w:r>
        <w:r w:rsidRPr="00705F9F">
          <w:rPr>
            <w:rFonts w:ascii="Times New Roman" w:hAnsi="Times New Roman" w:cs="Times New Roman"/>
            <w:sz w:val="24"/>
            <w:szCs w:val="24"/>
          </w:rPr>
          <w:fldChar w:fldCharType="separate"/>
        </w:r>
        <w:r w:rsidRPr="00705F9F">
          <w:rPr>
            <w:rFonts w:ascii="Times New Roman" w:hAnsi="Times New Roman" w:cs="Times New Roman"/>
            <w:noProof/>
            <w:sz w:val="24"/>
            <w:szCs w:val="24"/>
          </w:rPr>
          <w:t>2</w:t>
        </w:r>
        <w:r w:rsidRPr="00705F9F">
          <w:rPr>
            <w:rFonts w:ascii="Times New Roman" w:hAnsi="Times New Roman" w:cs="Times New Roman"/>
            <w:noProof/>
            <w:sz w:val="24"/>
            <w:szCs w:val="24"/>
          </w:rPr>
          <w:fldChar w:fldCharType="end"/>
        </w:r>
      </w:p>
    </w:sdtContent>
  </w:sdt>
  <w:p w14:paraId="0257872B" w14:textId="77777777" w:rsidR="00705F9F" w:rsidRDefault="00705F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9F"/>
    <w:rsid w:val="000D048B"/>
    <w:rsid w:val="001B0994"/>
    <w:rsid w:val="002006F4"/>
    <w:rsid w:val="002B6F02"/>
    <w:rsid w:val="002D5731"/>
    <w:rsid w:val="00310363"/>
    <w:rsid w:val="003D1B5B"/>
    <w:rsid w:val="00416074"/>
    <w:rsid w:val="00430960"/>
    <w:rsid w:val="00587BCD"/>
    <w:rsid w:val="005A0273"/>
    <w:rsid w:val="00655855"/>
    <w:rsid w:val="006A76ED"/>
    <w:rsid w:val="00705F9F"/>
    <w:rsid w:val="007A189B"/>
    <w:rsid w:val="007B645E"/>
    <w:rsid w:val="0086239B"/>
    <w:rsid w:val="00862F90"/>
    <w:rsid w:val="008A348A"/>
    <w:rsid w:val="00986A8E"/>
    <w:rsid w:val="009A2DF0"/>
    <w:rsid w:val="009F542A"/>
    <w:rsid w:val="00B053CD"/>
    <w:rsid w:val="00C176F6"/>
    <w:rsid w:val="00C74F7C"/>
    <w:rsid w:val="00D436A5"/>
    <w:rsid w:val="00DE0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67C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F9F"/>
  </w:style>
  <w:style w:type="paragraph" w:styleId="Footer">
    <w:name w:val="footer"/>
    <w:basedOn w:val="Normal"/>
    <w:link w:val="FooterChar"/>
    <w:uiPriority w:val="99"/>
    <w:unhideWhenUsed/>
    <w:rsid w:val="0070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1341</Words>
  <Characters>7645</Characters>
  <Application>Microsoft Office Word</Application>
  <DocSecurity>0</DocSecurity>
  <Lines>63</Lines>
  <Paragraphs>17</Paragraphs>
  <ScaleCrop>false</ScaleCrop>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2021-09-14T12:13:00Z</dcterms:created>
  <dcterms:modified xsi:type="dcterms:W3CDTF">2021-09-14T12:15:00Z</dcterms:modified>
</cp:coreProperties>
</file>